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90DFB6" w14:textId="77777777" w:rsidR="00840C2D" w:rsidRDefault="00840C2D" w:rsidP="00840C2D">
      <w:pPr>
        <w:spacing w:line="240" w:lineRule="auto"/>
        <w:ind w:firstLine="720"/>
        <w:jc w:val="both"/>
        <w:rPr>
          <w:rFonts w:ascii="Times New Roman" w:hAnsi="Times New Roman" w:cs="Times New Roman"/>
          <w:sz w:val="24"/>
          <w:szCs w:val="24"/>
        </w:rPr>
      </w:pPr>
      <w:bookmarkStart w:id="0" w:name="_GoBack"/>
      <w:bookmarkEnd w:id="0"/>
    </w:p>
    <w:p w14:paraId="58E300B6" w14:textId="77777777" w:rsidR="00441306" w:rsidRDefault="00441306" w:rsidP="00840C2D">
      <w:pPr>
        <w:spacing w:line="240" w:lineRule="auto"/>
        <w:ind w:firstLine="720"/>
        <w:jc w:val="center"/>
        <w:rPr>
          <w:rFonts w:ascii="Times New Roman" w:hAnsi="Times New Roman" w:cs="Times New Roman"/>
          <w:sz w:val="24"/>
          <w:szCs w:val="24"/>
        </w:rPr>
      </w:pPr>
    </w:p>
    <w:p w14:paraId="179F3DC8" w14:textId="77777777" w:rsidR="00441306" w:rsidRDefault="00441306" w:rsidP="00840C2D">
      <w:pPr>
        <w:spacing w:line="240" w:lineRule="auto"/>
        <w:ind w:firstLine="720"/>
        <w:jc w:val="center"/>
        <w:rPr>
          <w:rFonts w:ascii="Times New Roman" w:hAnsi="Times New Roman" w:cs="Times New Roman"/>
          <w:sz w:val="24"/>
          <w:szCs w:val="24"/>
        </w:rPr>
      </w:pPr>
    </w:p>
    <w:p w14:paraId="5311D834" w14:textId="77777777" w:rsidR="00441306" w:rsidRDefault="00441306" w:rsidP="00840C2D">
      <w:pPr>
        <w:spacing w:line="240" w:lineRule="auto"/>
        <w:ind w:firstLine="720"/>
        <w:jc w:val="center"/>
        <w:rPr>
          <w:rFonts w:ascii="Times New Roman" w:hAnsi="Times New Roman" w:cs="Times New Roman"/>
          <w:sz w:val="24"/>
          <w:szCs w:val="24"/>
        </w:rPr>
      </w:pPr>
    </w:p>
    <w:p w14:paraId="6EA025B8" w14:textId="77777777" w:rsidR="00441306" w:rsidRDefault="00441306" w:rsidP="00840C2D">
      <w:pPr>
        <w:spacing w:line="240" w:lineRule="auto"/>
        <w:ind w:firstLine="720"/>
        <w:jc w:val="center"/>
        <w:rPr>
          <w:rFonts w:ascii="Times New Roman" w:hAnsi="Times New Roman" w:cs="Times New Roman"/>
          <w:sz w:val="24"/>
          <w:szCs w:val="24"/>
        </w:rPr>
      </w:pPr>
    </w:p>
    <w:p w14:paraId="10D3F417" w14:textId="77777777" w:rsidR="00441306" w:rsidRDefault="00441306" w:rsidP="00840C2D">
      <w:pPr>
        <w:spacing w:line="240" w:lineRule="auto"/>
        <w:ind w:firstLine="720"/>
        <w:jc w:val="center"/>
        <w:rPr>
          <w:rFonts w:ascii="Times New Roman" w:hAnsi="Times New Roman" w:cs="Times New Roman"/>
          <w:sz w:val="24"/>
          <w:szCs w:val="24"/>
        </w:rPr>
      </w:pPr>
    </w:p>
    <w:p w14:paraId="2E47CDBB" w14:textId="77777777" w:rsidR="00441306" w:rsidRDefault="00441306" w:rsidP="00840C2D">
      <w:pPr>
        <w:spacing w:line="240" w:lineRule="auto"/>
        <w:ind w:firstLine="720"/>
        <w:jc w:val="center"/>
        <w:rPr>
          <w:rFonts w:ascii="Times New Roman" w:hAnsi="Times New Roman" w:cs="Times New Roman"/>
          <w:sz w:val="24"/>
          <w:szCs w:val="24"/>
        </w:rPr>
      </w:pPr>
    </w:p>
    <w:p w14:paraId="13AC3B54" w14:textId="77777777" w:rsidR="00441306" w:rsidRDefault="00441306" w:rsidP="00840C2D">
      <w:pPr>
        <w:spacing w:line="240" w:lineRule="auto"/>
        <w:ind w:firstLine="720"/>
        <w:jc w:val="center"/>
        <w:rPr>
          <w:rFonts w:ascii="Times New Roman" w:hAnsi="Times New Roman" w:cs="Times New Roman"/>
          <w:sz w:val="24"/>
          <w:szCs w:val="24"/>
        </w:rPr>
      </w:pPr>
      <w:r w:rsidRPr="00441306">
        <w:rPr>
          <w:rFonts w:ascii="Times New Roman" w:hAnsi="Times New Roman" w:cs="Times New Roman"/>
          <w:sz w:val="24"/>
          <w:szCs w:val="24"/>
        </w:rPr>
        <w:t>D</w:t>
      </w:r>
      <w:r>
        <w:rPr>
          <w:rFonts w:ascii="Times New Roman" w:hAnsi="Times New Roman" w:cs="Times New Roman"/>
          <w:sz w:val="24"/>
          <w:szCs w:val="24"/>
        </w:rPr>
        <w:t>rama, Metadrama, and Perception</w:t>
      </w:r>
    </w:p>
    <w:p w14:paraId="516CC86D" w14:textId="77777777" w:rsidR="00840C2D" w:rsidRDefault="00840C2D" w:rsidP="00840C2D">
      <w:pPr>
        <w:spacing w:line="24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14:paraId="5551DF4E" w14:textId="77777777" w:rsidR="00840C2D" w:rsidRDefault="00840C2D" w:rsidP="00840C2D">
      <w:pPr>
        <w:spacing w:line="24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Affiliations</w:t>
      </w:r>
    </w:p>
    <w:p w14:paraId="40F087C8" w14:textId="77777777" w:rsidR="00840C2D" w:rsidRDefault="00840C2D" w:rsidP="00840C2D">
      <w:pPr>
        <w:spacing w:line="240" w:lineRule="auto"/>
        <w:ind w:firstLine="720"/>
        <w:jc w:val="center"/>
        <w:rPr>
          <w:rFonts w:ascii="Times New Roman" w:hAnsi="Times New Roman" w:cs="Times New Roman"/>
          <w:sz w:val="24"/>
          <w:szCs w:val="24"/>
        </w:rPr>
      </w:pPr>
      <w:r>
        <w:rPr>
          <w:rFonts w:ascii="Times New Roman" w:hAnsi="Times New Roman" w:cs="Times New Roman"/>
          <w:sz w:val="24"/>
          <w:szCs w:val="24"/>
        </w:rPr>
        <w:t>Course Title</w:t>
      </w:r>
    </w:p>
    <w:p w14:paraId="6695D254" w14:textId="77777777" w:rsidR="00840C2D" w:rsidRDefault="00840C2D" w:rsidP="00840C2D">
      <w:pPr>
        <w:spacing w:line="24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14:paraId="1CB2D615" w14:textId="77777777" w:rsidR="00840C2D" w:rsidRDefault="00840C2D" w:rsidP="00840C2D">
      <w:pPr>
        <w:spacing w:line="240" w:lineRule="auto"/>
        <w:ind w:firstLine="720"/>
        <w:jc w:val="both"/>
        <w:rPr>
          <w:rFonts w:ascii="Times New Roman" w:hAnsi="Times New Roman" w:cs="Times New Roman"/>
          <w:sz w:val="24"/>
          <w:szCs w:val="24"/>
        </w:rPr>
      </w:pPr>
    </w:p>
    <w:p w14:paraId="13CB96E2" w14:textId="77777777" w:rsidR="00840C2D" w:rsidRDefault="00840C2D" w:rsidP="00840C2D">
      <w:pPr>
        <w:spacing w:line="240" w:lineRule="auto"/>
        <w:ind w:firstLine="720"/>
        <w:jc w:val="both"/>
        <w:rPr>
          <w:rFonts w:ascii="Times New Roman" w:hAnsi="Times New Roman" w:cs="Times New Roman"/>
          <w:sz w:val="24"/>
          <w:szCs w:val="24"/>
        </w:rPr>
      </w:pPr>
    </w:p>
    <w:p w14:paraId="046818DF" w14:textId="77777777" w:rsidR="00840C2D" w:rsidRDefault="00840C2D" w:rsidP="00840C2D">
      <w:pPr>
        <w:spacing w:line="240" w:lineRule="auto"/>
        <w:ind w:firstLine="720"/>
        <w:jc w:val="both"/>
        <w:rPr>
          <w:rFonts w:ascii="Times New Roman" w:hAnsi="Times New Roman" w:cs="Times New Roman"/>
          <w:sz w:val="24"/>
          <w:szCs w:val="24"/>
        </w:rPr>
      </w:pPr>
    </w:p>
    <w:p w14:paraId="288EE267" w14:textId="77777777" w:rsidR="00840C2D" w:rsidRDefault="00840C2D" w:rsidP="00840C2D">
      <w:pPr>
        <w:spacing w:line="240" w:lineRule="auto"/>
        <w:ind w:firstLine="720"/>
        <w:jc w:val="both"/>
        <w:rPr>
          <w:rFonts w:ascii="Times New Roman" w:hAnsi="Times New Roman" w:cs="Times New Roman"/>
          <w:sz w:val="24"/>
          <w:szCs w:val="24"/>
        </w:rPr>
      </w:pPr>
    </w:p>
    <w:p w14:paraId="0C905686" w14:textId="77777777" w:rsidR="00840C2D" w:rsidRDefault="00840C2D" w:rsidP="00840C2D">
      <w:pPr>
        <w:spacing w:line="240" w:lineRule="auto"/>
        <w:ind w:firstLine="720"/>
        <w:jc w:val="both"/>
        <w:rPr>
          <w:rFonts w:ascii="Times New Roman" w:hAnsi="Times New Roman" w:cs="Times New Roman"/>
          <w:sz w:val="24"/>
          <w:szCs w:val="24"/>
        </w:rPr>
      </w:pPr>
    </w:p>
    <w:p w14:paraId="185402A3" w14:textId="77777777" w:rsidR="00840C2D" w:rsidRDefault="00840C2D" w:rsidP="00840C2D">
      <w:pPr>
        <w:spacing w:line="240" w:lineRule="auto"/>
        <w:ind w:firstLine="720"/>
        <w:jc w:val="both"/>
        <w:rPr>
          <w:rFonts w:ascii="Times New Roman" w:hAnsi="Times New Roman" w:cs="Times New Roman"/>
          <w:sz w:val="24"/>
          <w:szCs w:val="24"/>
        </w:rPr>
      </w:pPr>
    </w:p>
    <w:p w14:paraId="69F5E447" w14:textId="77777777" w:rsidR="00441306" w:rsidRDefault="00441306" w:rsidP="00840C2D">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14:paraId="1943796C" w14:textId="77777777" w:rsidR="00763F25" w:rsidRPr="00840C2D" w:rsidRDefault="00763F25" w:rsidP="00840C2D">
      <w:pPr>
        <w:spacing w:line="240" w:lineRule="auto"/>
        <w:ind w:firstLine="720"/>
        <w:jc w:val="both"/>
        <w:rPr>
          <w:rFonts w:ascii="Times New Roman" w:hAnsi="Times New Roman" w:cs="Times New Roman"/>
          <w:sz w:val="24"/>
          <w:szCs w:val="24"/>
        </w:rPr>
      </w:pPr>
      <w:r w:rsidRPr="00840C2D">
        <w:rPr>
          <w:rFonts w:ascii="Times New Roman" w:hAnsi="Times New Roman" w:cs="Times New Roman"/>
          <w:sz w:val="24"/>
          <w:szCs w:val="24"/>
        </w:rPr>
        <w:lastRenderedPageBreak/>
        <w:t xml:space="preserve">This book manages the manner by which show identifies with the real world, to itself, and to culture for the most part. The primary segment is a study of authenticity as a hypothesis (as opposed to </w:t>
      </w:r>
      <w:r w:rsidR="00441306" w:rsidRPr="00840C2D">
        <w:rPr>
          <w:rFonts w:ascii="Times New Roman" w:hAnsi="Times New Roman" w:cs="Times New Roman"/>
          <w:sz w:val="24"/>
          <w:szCs w:val="24"/>
        </w:rPr>
        <w:t>training</w:t>
      </w:r>
      <w:r w:rsidR="00441306">
        <w:rPr>
          <w:rFonts w:ascii="Times New Roman" w:hAnsi="Times New Roman" w:cs="Times New Roman"/>
          <w:sz w:val="24"/>
          <w:szCs w:val="24"/>
        </w:rPr>
        <w:t xml:space="preserve">)in the </w:t>
      </w:r>
      <w:r w:rsidRPr="00840C2D">
        <w:rPr>
          <w:rFonts w:ascii="Times New Roman" w:hAnsi="Times New Roman" w:cs="Times New Roman"/>
          <w:sz w:val="24"/>
          <w:szCs w:val="24"/>
        </w:rPr>
        <w:t xml:space="preserve">show. While sensible hypothesis infers that all components of dramatization (counting those of execution) can be tried as far as </w:t>
      </w:r>
      <w:r w:rsidR="00441306">
        <w:rPr>
          <w:rFonts w:ascii="Times New Roman" w:hAnsi="Times New Roman" w:cs="Times New Roman"/>
          <w:sz w:val="24"/>
          <w:szCs w:val="24"/>
        </w:rPr>
        <w:t xml:space="preserve">how "near" or "a long way </w:t>
      </w:r>
      <w:proofErr w:type="spellStart"/>
      <w:r w:rsidR="00441306">
        <w:rPr>
          <w:rFonts w:ascii="Times New Roman" w:hAnsi="Times New Roman" w:cs="Times New Roman"/>
          <w:sz w:val="24"/>
          <w:szCs w:val="24"/>
        </w:rPr>
        <w:t>from"a</w:t>
      </w:r>
      <w:proofErr w:type="spellEnd"/>
      <w:r w:rsidR="00441306">
        <w:rPr>
          <w:rFonts w:ascii="Times New Roman" w:hAnsi="Times New Roman" w:cs="Times New Roman"/>
          <w:sz w:val="24"/>
          <w:szCs w:val="24"/>
        </w:rPr>
        <w:t xml:space="preserve"> </w:t>
      </w:r>
      <w:r w:rsidRPr="00840C2D">
        <w:rPr>
          <w:rFonts w:ascii="Times New Roman" w:hAnsi="Times New Roman" w:cs="Times New Roman"/>
          <w:sz w:val="24"/>
          <w:szCs w:val="24"/>
        </w:rPr>
        <w:t>life they are, Hornby demonstrates that show is never about reality straightforwardly. Plays work in</w:t>
      </w:r>
      <w:r w:rsidR="00441306">
        <w:rPr>
          <w:rFonts w:ascii="Times New Roman" w:hAnsi="Times New Roman" w:cs="Times New Roman"/>
          <w:sz w:val="24"/>
          <w:szCs w:val="24"/>
        </w:rPr>
        <w:t xml:space="preserve">side a complex of social codes, </w:t>
      </w:r>
      <w:r w:rsidRPr="00840C2D">
        <w:rPr>
          <w:rFonts w:ascii="Times New Roman" w:hAnsi="Times New Roman" w:cs="Times New Roman"/>
          <w:sz w:val="24"/>
          <w:szCs w:val="24"/>
        </w:rPr>
        <w:t>includ</w:t>
      </w:r>
      <w:r w:rsidR="00441306">
        <w:rPr>
          <w:rFonts w:ascii="Times New Roman" w:hAnsi="Times New Roman" w:cs="Times New Roman"/>
          <w:sz w:val="24"/>
          <w:szCs w:val="24"/>
        </w:rPr>
        <w:t xml:space="preserve">ing that of the </w:t>
      </w:r>
      <w:r w:rsidRPr="00840C2D">
        <w:rPr>
          <w:rFonts w:ascii="Times New Roman" w:hAnsi="Times New Roman" w:cs="Times New Roman"/>
          <w:sz w:val="24"/>
          <w:szCs w:val="24"/>
        </w:rPr>
        <w:t>show itself, and encompassing that, other socia</w:t>
      </w:r>
      <w:r w:rsidR="00441306">
        <w:rPr>
          <w:rFonts w:ascii="Times New Roman" w:hAnsi="Times New Roman" w:cs="Times New Roman"/>
          <w:sz w:val="24"/>
          <w:szCs w:val="24"/>
        </w:rPr>
        <w:t xml:space="preserve">l frameworks including those of </w:t>
      </w:r>
      <w:r w:rsidRPr="00840C2D">
        <w:rPr>
          <w:rFonts w:ascii="Times New Roman" w:hAnsi="Times New Roman" w:cs="Times New Roman"/>
          <w:sz w:val="24"/>
          <w:szCs w:val="24"/>
        </w:rPr>
        <w:t>theat</w:t>
      </w:r>
      <w:r w:rsidR="00441306">
        <w:rPr>
          <w:rFonts w:ascii="Times New Roman" w:hAnsi="Times New Roman" w:cs="Times New Roman"/>
          <w:sz w:val="24"/>
          <w:szCs w:val="24"/>
        </w:rPr>
        <w:t>re, writing, and social conduct The s</w:t>
      </w:r>
      <w:r w:rsidRPr="00840C2D">
        <w:rPr>
          <w:rFonts w:ascii="Times New Roman" w:hAnsi="Times New Roman" w:cs="Times New Roman"/>
          <w:sz w:val="24"/>
          <w:szCs w:val="24"/>
        </w:rPr>
        <w:t xml:space="preserve">how is constantly about the manner in which </w:t>
      </w:r>
      <w:r w:rsidR="00441306">
        <w:rPr>
          <w:rFonts w:ascii="Times New Roman" w:hAnsi="Times New Roman" w:cs="Times New Roman"/>
          <w:sz w:val="24"/>
          <w:szCs w:val="24"/>
        </w:rPr>
        <w:t xml:space="preserve">we see reality through a </w:t>
      </w:r>
      <w:r w:rsidR="00441306" w:rsidRPr="00840C2D">
        <w:rPr>
          <w:rFonts w:ascii="Times New Roman" w:hAnsi="Times New Roman" w:cs="Times New Roman"/>
          <w:sz w:val="24"/>
          <w:szCs w:val="24"/>
        </w:rPr>
        <w:t>culture of</w:t>
      </w:r>
      <w:r w:rsidRPr="00840C2D">
        <w:rPr>
          <w:rFonts w:ascii="Times New Roman" w:hAnsi="Times New Roman" w:cs="Times New Roman"/>
          <w:sz w:val="24"/>
          <w:szCs w:val="24"/>
        </w:rPr>
        <w:t xml:space="preserve"> which dramati</w:t>
      </w:r>
      <w:r w:rsidR="00840C2D" w:rsidRPr="00840C2D">
        <w:rPr>
          <w:rFonts w:ascii="Times New Roman" w:hAnsi="Times New Roman" w:cs="Times New Roman"/>
          <w:sz w:val="24"/>
          <w:szCs w:val="24"/>
        </w:rPr>
        <w:t>zation itself shapes a section, (</w:t>
      </w:r>
      <w:r w:rsidR="00840C2D" w:rsidRPr="00840C2D">
        <w:rPr>
          <w:rFonts w:ascii="Times New Roman" w:hAnsi="Times New Roman" w:cs="Times New Roman"/>
          <w:sz w:val="24"/>
          <w:szCs w:val="24"/>
          <w:shd w:val="clear" w:color="auto" w:fill="FFFFFF"/>
        </w:rPr>
        <w:t>Purcell, 2018).</w:t>
      </w:r>
    </w:p>
    <w:p w14:paraId="4C95E0DA" w14:textId="77777777" w:rsidR="007E659D" w:rsidRPr="00840C2D" w:rsidRDefault="00763F25" w:rsidP="00840C2D">
      <w:pPr>
        <w:spacing w:line="240" w:lineRule="auto"/>
        <w:ind w:firstLine="720"/>
        <w:jc w:val="both"/>
        <w:rPr>
          <w:rFonts w:ascii="Times New Roman" w:hAnsi="Times New Roman" w:cs="Times New Roman"/>
          <w:sz w:val="24"/>
          <w:szCs w:val="24"/>
        </w:rPr>
      </w:pPr>
      <w:r w:rsidRPr="00840C2D">
        <w:rPr>
          <w:rFonts w:ascii="Times New Roman" w:hAnsi="Times New Roman" w:cs="Times New Roman"/>
          <w:sz w:val="24"/>
          <w:szCs w:val="24"/>
        </w:rPr>
        <w:t xml:space="preserve">According to Richard Hornby, the one thing that separates “great playwrights” from the “ordinary ones” is the automatic polarization of the theatre into unrealistic and realistic and the categorization of the perception of people in either their dialogue or the performances of the actors or the designs which relate to the two poles. Moreover, this </w:t>
      </w:r>
      <w:r w:rsidR="00441306">
        <w:rPr>
          <w:rFonts w:ascii="Times New Roman" w:hAnsi="Times New Roman" w:cs="Times New Roman"/>
          <w:sz w:val="24"/>
          <w:szCs w:val="24"/>
        </w:rPr>
        <w:t xml:space="preserve">doctrine is not only limited to </w:t>
      </w:r>
      <w:r w:rsidRPr="00840C2D">
        <w:rPr>
          <w:rFonts w:ascii="Times New Roman" w:hAnsi="Times New Roman" w:cs="Times New Roman"/>
          <w:sz w:val="24"/>
          <w:szCs w:val="24"/>
        </w:rPr>
        <w:t>realism as a genre but it is rather more of a device for categorizing everything in the theatre.</w:t>
      </w:r>
      <w:r w:rsidR="007E659D" w:rsidRPr="00840C2D">
        <w:rPr>
          <w:rFonts w:ascii="Times New Roman" w:hAnsi="Times New Roman" w:cs="Times New Roman"/>
          <w:sz w:val="24"/>
          <w:szCs w:val="24"/>
        </w:rPr>
        <w:t xml:space="preserve"> </w:t>
      </w:r>
      <w:r w:rsidR="00441306" w:rsidRPr="00840C2D">
        <w:rPr>
          <w:rFonts w:ascii="Times New Roman" w:hAnsi="Times New Roman" w:cs="Times New Roman"/>
          <w:sz w:val="24"/>
          <w:szCs w:val="24"/>
        </w:rPr>
        <w:t>This</w:t>
      </w:r>
      <w:r w:rsidR="007E659D" w:rsidRPr="00840C2D">
        <w:rPr>
          <w:rFonts w:ascii="Times New Roman" w:hAnsi="Times New Roman" w:cs="Times New Roman"/>
          <w:sz w:val="24"/>
          <w:szCs w:val="24"/>
        </w:rPr>
        <w:t xml:space="preserve"> theme investigates by various pundits in the course of recent decades, yet which has not created any deliberate diagram. Hornby gives one, with a philosophical exchange of every conceivable sort of metadrama, heaps of psychoanalytic, phenomenological, and deconstructive criticism.</w:t>
      </w:r>
    </w:p>
    <w:p w14:paraId="2CDFE303" w14:textId="77777777" w:rsidR="007E659D" w:rsidRPr="00840C2D" w:rsidRDefault="00441306" w:rsidP="00840C2D">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Broadly metadrama</w:t>
      </w:r>
      <w:r w:rsidR="007E659D" w:rsidRPr="00840C2D">
        <w:rPr>
          <w:rFonts w:ascii="Times New Roman" w:hAnsi="Times New Roman" w:cs="Times New Roman"/>
          <w:sz w:val="24"/>
          <w:szCs w:val="24"/>
        </w:rPr>
        <w:t>s show</w:t>
      </w:r>
      <w:r>
        <w:rPr>
          <w:rFonts w:ascii="Times New Roman" w:hAnsi="Times New Roman" w:cs="Times New Roman"/>
          <w:sz w:val="24"/>
          <w:szCs w:val="24"/>
        </w:rPr>
        <w:t>n</w:t>
      </w:r>
      <w:r w:rsidR="007E659D" w:rsidRPr="00840C2D">
        <w:rPr>
          <w:rFonts w:ascii="Times New Roman" w:hAnsi="Times New Roman" w:cs="Times New Roman"/>
          <w:sz w:val="24"/>
          <w:szCs w:val="24"/>
        </w:rPr>
        <w:t xml:space="preserve"> about dramatization, and all plays are as it </w:t>
      </w:r>
      <w:r w:rsidRPr="00840C2D">
        <w:rPr>
          <w:rFonts w:ascii="Times New Roman" w:hAnsi="Times New Roman" w:cs="Times New Roman"/>
          <w:sz w:val="24"/>
          <w:szCs w:val="24"/>
        </w:rPr>
        <w:t>was</w:t>
      </w:r>
      <w:r w:rsidR="007E659D" w:rsidRPr="00840C2D">
        <w:rPr>
          <w:rFonts w:ascii="Times New Roman" w:hAnsi="Times New Roman" w:cs="Times New Roman"/>
          <w:sz w:val="24"/>
          <w:szCs w:val="24"/>
        </w:rPr>
        <w:t xml:space="preserve"> metadramatic. </w:t>
      </w:r>
      <w:r w:rsidRPr="00840C2D">
        <w:rPr>
          <w:rFonts w:ascii="Times New Roman" w:hAnsi="Times New Roman" w:cs="Times New Roman"/>
          <w:sz w:val="24"/>
          <w:szCs w:val="24"/>
        </w:rPr>
        <w:t>There are numerous assortments of metadrama, be that as it may, of</w:t>
      </w:r>
      <w:r>
        <w:rPr>
          <w:rFonts w:ascii="Times New Roman" w:hAnsi="Times New Roman" w:cs="Times New Roman"/>
          <w:sz w:val="24"/>
          <w:szCs w:val="24"/>
        </w:rPr>
        <w:t xml:space="preserve"> changing degrees of expression</w:t>
      </w:r>
      <w:r w:rsidRPr="00840C2D">
        <w:rPr>
          <w:rFonts w:ascii="Times New Roman" w:hAnsi="Times New Roman" w:cs="Times New Roman"/>
          <w:sz w:val="24"/>
          <w:szCs w:val="24"/>
        </w:rPr>
        <w:t xml:space="preserve">, and the more unequivocal the metadrama, the more it produces a feeling of alienation in the gathering of people, who are compelled to realign your view of the emotional hallucination. As indicated by Hornby, the incorporation of abstract and genuine references is metatheatrical. </w:t>
      </w:r>
      <w:r w:rsidR="007E659D" w:rsidRPr="00840C2D">
        <w:rPr>
          <w:rFonts w:ascii="Times New Roman" w:hAnsi="Times New Roman" w:cs="Times New Roman"/>
          <w:sz w:val="24"/>
          <w:szCs w:val="24"/>
        </w:rPr>
        <w:t>'There are numerous manners by which a play can allude to other writing. For each situation, the level of metadramatic alienation created is corresponding to how much the crowd perceives the scholarly mention in that capacity' (Hornby, 1986, p.88). So as to be metatheatrical references, they should be neither darken nor excessively t</w:t>
      </w:r>
      <w:r w:rsidR="00840C2D" w:rsidRPr="00840C2D">
        <w:rPr>
          <w:rFonts w:ascii="Times New Roman" w:hAnsi="Times New Roman" w:cs="Times New Roman"/>
          <w:sz w:val="24"/>
          <w:szCs w:val="24"/>
        </w:rPr>
        <w:t>ypical, (</w:t>
      </w:r>
      <w:r w:rsidR="00840C2D" w:rsidRPr="00840C2D">
        <w:rPr>
          <w:rFonts w:ascii="Times New Roman" w:hAnsi="Times New Roman" w:cs="Times New Roman"/>
          <w:sz w:val="24"/>
          <w:szCs w:val="24"/>
          <w:shd w:val="clear" w:color="auto" w:fill="FFFFFF"/>
        </w:rPr>
        <w:t>Angus, 2016). </w:t>
      </w:r>
    </w:p>
    <w:p w14:paraId="2414BF6F" w14:textId="77777777" w:rsidR="00AF6343" w:rsidRPr="00840C2D" w:rsidRDefault="00AF6343" w:rsidP="00840C2D">
      <w:pPr>
        <w:spacing w:line="240" w:lineRule="auto"/>
        <w:ind w:firstLine="720"/>
        <w:jc w:val="both"/>
        <w:rPr>
          <w:rFonts w:ascii="Times New Roman" w:hAnsi="Times New Roman" w:cs="Times New Roman"/>
          <w:sz w:val="24"/>
          <w:szCs w:val="24"/>
        </w:rPr>
      </w:pPr>
      <w:r w:rsidRPr="00840C2D">
        <w:rPr>
          <w:rFonts w:ascii="Times New Roman" w:hAnsi="Times New Roman" w:cs="Times New Roman"/>
          <w:sz w:val="24"/>
          <w:szCs w:val="24"/>
        </w:rPr>
        <w:t xml:space="preserve">in the celebrations </w:t>
      </w:r>
      <w:r w:rsidR="00441306" w:rsidRPr="00840C2D">
        <w:rPr>
          <w:rFonts w:ascii="Times New Roman" w:hAnsi="Times New Roman" w:cs="Times New Roman"/>
          <w:sz w:val="24"/>
          <w:szCs w:val="24"/>
        </w:rPr>
        <w:t>service</w:t>
      </w:r>
      <w:r w:rsidRPr="00840C2D">
        <w:rPr>
          <w:rFonts w:ascii="Times New Roman" w:hAnsi="Times New Roman" w:cs="Times New Roman"/>
          <w:sz w:val="24"/>
          <w:szCs w:val="24"/>
        </w:rPr>
        <w:t xml:space="preserve"> inside the play, there is an endorsed activity performed in a set way and incorporates such occasions as dinners, parades, events, customs, executions, crowning liturgies, and comparative activities</w:t>
      </w:r>
      <w:r w:rsidR="00441306">
        <w:rPr>
          <w:rFonts w:ascii="Times New Roman" w:hAnsi="Times New Roman" w:cs="Times New Roman"/>
          <w:sz w:val="24"/>
          <w:szCs w:val="24"/>
        </w:rPr>
        <w:t xml:space="preserve">. Functions are recognized from the </w:t>
      </w:r>
      <w:r w:rsidRPr="00840C2D">
        <w:rPr>
          <w:rFonts w:ascii="Times New Roman" w:hAnsi="Times New Roman" w:cs="Times New Roman"/>
          <w:sz w:val="24"/>
          <w:szCs w:val="24"/>
        </w:rPr>
        <w:t>theat</w:t>
      </w:r>
      <w:r w:rsidR="00441306">
        <w:rPr>
          <w:rFonts w:ascii="Times New Roman" w:hAnsi="Times New Roman" w:cs="Times New Roman"/>
          <w:sz w:val="24"/>
          <w:szCs w:val="24"/>
        </w:rPr>
        <w:t>re</w:t>
      </w:r>
      <w:r w:rsidRPr="00840C2D">
        <w:rPr>
          <w:rFonts w:ascii="Times New Roman" w:hAnsi="Times New Roman" w:cs="Times New Roman"/>
          <w:sz w:val="24"/>
          <w:szCs w:val="24"/>
        </w:rPr>
        <w:t xml:space="preserve"> by the way that the members don't play undeniable characters and that the service never has a plot. Hornby takes note of that basically all plays have some type of service, and he sees that 'it ends up hard discovering a play without a function in </w:t>
      </w:r>
      <w:r w:rsidR="00441306">
        <w:rPr>
          <w:rFonts w:ascii="Times New Roman" w:hAnsi="Times New Roman" w:cs="Times New Roman"/>
          <w:sz w:val="24"/>
          <w:szCs w:val="24"/>
        </w:rPr>
        <w:t>it or something to that e</w:t>
      </w:r>
      <w:r w:rsidRPr="00840C2D">
        <w:rPr>
          <w:rFonts w:ascii="Times New Roman" w:hAnsi="Times New Roman" w:cs="Times New Roman"/>
          <w:sz w:val="24"/>
          <w:szCs w:val="24"/>
        </w:rPr>
        <w:t>ffect'. Among those functions are supplications, which are omnipresent in the Greek catastrophes. Jon D. Mikalson's focal discoveries on unanswered supplications, however not key to this examination, gave adequate documentation of the formalized and ritualized utilization of petitions in Greek disasters</w:t>
      </w:r>
      <w:r w:rsidR="00840C2D" w:rsidRPr="00840C2D">
        <w:rPr>
          <w:rFonts w:ascii="Times New Roman" w:hAnsi="Times New Roman" w:cs="Times New Roman"/>
          <w:sz w:val="24"/>
          <w:szCs w:val="24"/>
        </w:rPr>
        <w:t>, (</w:t>
      </w:r>
      <w:r w:rsidR="00840C2D" w:rsidRPr="00840C2D">
        <w:rPr>
          <w:rFonts w:ascii="Times New Roman" w:hAnsi="Times New Roman" w:cs="Times New Roman"/>
          <w:sz w:val="24"/>
          <w:szCs w:val="24"/>
          <w:shd w:val="clear" w:color="auto" w:fill="FFFFFF"/>
        </w:rPr>
        <w:t>Purcell, 2018).</w:t>
      </w:r>
    </w:p>
    <w:p w14:paraId="4B00DAE4" w14:textId="77777777" w:rsidR="007E659D" w:rsidRPr="00840C2D" w:rsidRDefault="00AF6343" w:rsidP="00840C2D">
      <w:pPr>
        <w:spacing w:line="240" w:lineRule="auto"/>
        <w:ind w:firstLine="720"/>
        <w:jc w:val="both"/>
        <w:rPr>
          <w:rFonts w:ascii="Times New Roman" w:hAnsi="Times New Roman" w:cs="Times New Roman"/>
          <w:sz w:val="24"/>
          <w:szCs w:val="24"/>
        </w:rPr>
      </w:pPr>
      <w:r w:rsidRPr="00840C2D">
        <w:rPr>
          <w:rFonts w:ascii="Times New Roman" w:hAnsi="Times New Roman" w:cs="Times New Roman"/>
          <w:sz w:val="24"/>
          <w:szCs w:val="24"/>
        </w:rPr>
        <w:t xml:space="preserve">Numerous ceremonies are depicted or performed in Agamemnon. The melody relates the custom penance of Iphigenia ten years before the beginning of the Trojan War. Toward the start of Scene I, Clytemnestra enters to play out a </w:t>
      </w:r>
      <w:r w:rsidR="00441306" w:rsidRPr="00840C2D">
        <w:rPr>
          <w:rFonts w:ascii="Times New Roman" w:hAnsi="Times New Roman" w:cs="Times New Roman"/>
          <w:sz w:val="24"/>
          <w:szCs w:val="24"/>
        </w:rPr>
        <w:t xml:space="preserve">penance. </w:t>
      </w:r>
      <w:r w:rsidRPr="00840C2D">
        <w:rPr>
          <w:rFonts w:ascii="Times New Roman" w:hAnsi="Times New Roman" w:cs="Times New Roman"/>
          <w:sz w:val="24"/>
          <w:szCs w:val="24"/>
        </w:rPr>
        <w:t xml:space="preserve">Scene II begins with the </w:t>
      </w:r>
      <w:r w:rsidR="00441306">
        <w:rPr>
          <w:rFonts w:ascii="Times New Roman" w:hAnsi="Times New Roman" w:cs="Times New Roman"/>
          <w:sz w:val="24"/>
          <w:szCs w:val="24"/>
        </w:rPr>
        <w:t xml:space="preserve">messenger entering and offering </w:t>
      </w:r>
      <w:r w:rsidRPr="00840C2D">
        <w:rPr>
          <w:rFonts w:ascii="Times New Roman" w:hAnsi="Times New Roman" w:cs="Times New Roman"/>
          <w:sz w:val="24"/>
          <w:szCs w:val="24"/>
        </w:rPr>
        <w:t xml:space="preserve">supplication to the divine beings for Agamemnon's sheltered come back from Troy. </w:t>
      </w:r>
      <w:r w:rsidR="00441306" w:rsidRPr="00840C2D">
        <w:rPr>
          <w:rFonts w:ascii="Times New Roman" w:hAnsi="Times New Roman" w:cs="Times New Roman"/>
          <w:sz w:val="24"/>
          <w:szCs w:val="24"/>
        </w:rPr>
        <w:t>Be</w:t>
      </w:r>
      <w:r w:rsidRPr="00840C2D">
        <w:rPr>
          <w:rFonts w:ascii="Times New Roman" w:hAnsi="Times New Roman" w:cs="Times New Roman"/>
          <w:sz w:val="24"/>
          <w:szCs w:val="24"/>
        </w:rPr>
        <w:t xml:space="preserve"> that as it may, </w:t>
      </w:r>
      <w:r w:rsidR="00441306" w:rsidRPr="00840C2D">
        <w:rPr>
          <w:rFonts w:ascii="Times New Roman" w:hAnsi="Times New Roman" w:cs="Times New Roman"/>
          <w:sz w:val="24"/>
          <w:szCs w:val="24"/>
        </w:rPr>
        <w:t>later</w:t>
      </w:r>
      <w:r w:rsidRPr="00840C2D">
        <w:rPr>
          <w:rFonts w:ascii="Times New Roman" w:hAnsi="Times New Roman" w:cs="Times New Roman"/>
          <w:sz w:val="24"/>
          <w:szCs w:val="24"/>
        </w:rPr>
        <w:t xml:space="preserve">, amid the Exodus, Aegisthus depicts the feast at which Atreus served up to Thyestes his very own youngsters. The start of The Libation-Bearers begins with </w:t>
      </w:r>
      <w:r w:rsidRPr="00840C2D">
        <w:rPr>
          <w:rFonts w:ascii="Times New Roman" w:hAnsi="Times New Roman" w:cs="Times New Roman"/>
          <w:sz w:val="24"/>
          <w:szCs w:val="24"/>
        </w:rPr>
        <w:lastRenderedPageBreak/>
        <w:t>Orestes playing out a custom at his dad's tomb. This is trailed by Electra playing out another custom in her supplications for Orestes' arrival to vindicate the demise of their dad</w:t>
      </w:r>
      <w:r w:rsidR="007E659D" w:rsidRPr="00840C2D">
        <w:rPr>
          <w:rFonts w:ascii="Times New Roman" w:hAnsi="Times New Roman" w:cs="Times New Roman"/>
          <w:sz w:val="24"/>
          <w:szCs w:val="24"/>
        </w:rPr>
        <w:t>.</w:t>
      </w:r>
    </w:p>
    <w:p w14:paraId="7ADA474C" w14:textId="77777777" w:rsidR="00840C2D" w:rsidRPr="00840C2D" w:rsidRDefault="00AF6343" w:rsidP="00840C2D">
      <w:pPr>
        <w:spacing w:line="240" w:lineRule="auto"/>
        <w:ind w:firstLine="720"/>
        <w:jc w:val="both"/>
        <w:rPr>
          <w:rFonts w:ascii="Times New Roman" w:hAnsi="Times New Roman" w:cs="Times New Roman"/>
          <w:sz w:val="24"/>
          <w:szCs w:val="24"/>
          <w:shd w:val="clear" w:color="auto" w:fill="FFFFFF"/>
        </w:rPr>
      </w:pPr>
      <w:r w:rsidRPr="00840C2D">
        <w:rPr>
          <w:rFonts w:ascii="Times New Roman" w:hAnsi="Times New Roman" w:cs="Times New Roman"/>
          <w:sz w:val="24"/>
          <w:szCs w:val="24"/>
        </w:rPr>
        <w:t xml:space="preserve">This is anyway contradicted to later toward the finish of that play, when Athena drives a processional into the Cave of the Furies, Bowie in 'Religion and Politics in Aeschylus' Oresteia' </w:t>
      </w:r>
      <w:r w:rsidR="00441306" w:rsidRPr="00840C2D">
        <w:rPr>
          <w:rFonts w:ascii="Times New Roman" w:hAnsi="Times New Roman" w:cs="Times New Roman"/>
          <w:sz w:val="24"/>
          <w:szCs w:val="24"/>
        </w:rPr>
        <w:t>pursues the</w:t>
      </w:r>
      <w:r w:rsidRPr="00840C2D">
        <w:rPr>
          <w:rFonts w:ascii="Times New Roman" w:hAnsi="Times New Roman" w:cs="Times New Roman"/>
          <w:sz w:val="24"/>
          <w:szCs w:val="24"/>
        </w:rPr>
        <w:t xml:space="preserve"> theme of services and fantasies Bowie found numerous references to specific services in the plays of the set of three. A solitary </w:t>
      </w:r>
      <w:r w:rsidR="00441306">
        <w:rPr>
          <w:rFonts w:ascii="Times New Roman" w:hAnsi="Times New Roman" w:cs="Times New Roman"/>
          <w:sz w:val="24"/>
          <w:szCs w:val="24"/>
        </w:rPr>
        <w:t>illustrative example is a</w:t>
      </w:r>
      <w:r w:rsidRPr="00840C2D">
        <w:rPr>
          <w:rFonts w:ascii="Times New Roman" w:hAnsi="Times New Roman" w:cs="Times New Roman"/>
          <w:sz w:val="24"/>
          <w:szCs w:val="24"/>
        </w:rPr>
        <w:t xml:space="preserve"> correlation between the Panathenaea and Clytemnestra's reference point fires toward the start of Agamemnon. Bowie cites Fraenkel's correlation of the movement of the guide flames to the lampadeldromia, a race that was a piece of the Panathenaea celebration. Fraenkel takes note of that his oddity more likely than not struck Athenian listeners as something practically odd. Such implications </w:t>
      </w:r>
      <w:r w:rsidR="00840C2D" w:rsidRPr="00840C2D">
        <w:rPr>
          <w:rFonts w:ascii="Times New Roman" w:hAnsi="Times New Roman" w:cs="Times New Roman"/>
          <w:sz w:val="24"/>
          <w:szCs w:val="24"/>
        </w:rPr>
        <w:t xml:space="preserve">are </w:t>
      </w:r>
      <w:r w:rsidRPr="00840C2D">
        <w:rPr>
          <w:rFonts w:ascii="Times New Roman" w:hAnsi="Times New Roman" w:cs="Times New Roman"/>
          <w:sz w:val="24"/>
          <w:szCs w:val="24"/>
        </w:rPr>
        <w:t>more likely than not been jolting for the gathering of people, most likely even self-referential</w:t>
      </w:r>
      <w:r w:rsidR="00840C2D" w:rsidRPr="00840C2D">
        <w:rPr>
          <w:rFonts w:ascii="Times New Roman" w:hAnsi="Times New Roman" w:cs="Times New Roman"/>
          <w:sz w:val="24"/>
          <w:szCs w:val="24"/>
        </w:rPr>
        <w:t>, (</w:t>
      </w:r>
      <w:r w:rsidR="00840C2D" w:rsidRPr="00840C2D">
        <w:rPr>
          <w:rFonts w:ascii="Times New Roman" w:hAnsi="Times New Roman" w:cs="Times New Roman"/>
          <w:sz w:val="24"/>
          <w:szCs w:val="24"/>
          <w:shd w:val="clear" w:color="auto" w:fill="FFFFFF"/>
        </w:rPr>
        <w:t xml:space="preserve">Stephenson, 2014). </w:t>
      </w:r>
    </w:p>
    <w:p w14:paraId="22EE3316" w14:textId="77777777" w:rsidR="00840C2D" w:rsidRPr="00840C2D" w:rsidRDefault="00840C2D" w:rsidP="00840C2D">
      <w:pPr>
        <w:spacing w:line="240" w:lineRule="auto"/>
        <w:ind w:firstLine="720"/>
        <w:jc w:val="both"/>
        <w:rPr>
          <w:rFonts w:ascii="Times New Roman" w:hAnsi="Times New Roman" w:cs="Times New Roman"/>
          <w:sz w:val="24"/>
          <w:szCs w:val="24"/>
        </w:rPr>
      </w:pPr>
      <w:r w:rsidRPr="00840C2D">
        <w:rPr>
          <w:rFonts w:ascii="Times New Roman" w:hAnsi="Times New Roman" w:cs="Times New Roman"/>
          <w:sz w:val="24"/>
          <w:szCs w:val="24"/>
        </w:rPr>
        <w:t xml:space="preserve"> A much more grounded case for self-reference is the best entertainer grant process. Damen indicates conv</w:t>
      </w:r>
      <w:r w:rsidR="00441306">
        <w:rPr>
          <w:rFonts w:ascii="Times New Roman" w:hAnsi="Times New Roman" w:cs="Times New Roman"/>
          <w:sz w:val="24"/>
          <w:szCs w:val="24"/>
        </w:rPr>
        <w:t xml:space="preserve">incingly that on account of the </w:t>
      </w:r>
      <w:proofErr w:type="spellStart"/>
      <w:r w:rsidRPr="00840C2D">
        <w:rPr>
          <w:rFonts w:ascii="Times New Roman" w:hAnsi="Times New Roman" w:cs="Times New Roman"/>
          <w:sz w:val="24"/>
          <w:szCs w:val="24"/>
        </w:rPr>
        <w:t>hono</w:t>
      </w:r>
      <w:r w:rsidR="00441306">
        <w:rPr>
          <w:rFonts w:ascii="Times New Roman" w:hAnsi="Times New Roman" w:cs="Times New Roman"/>
          <w:sz w:val="24"/>
          <w:szCs w:val="24"/>
        </w:rPr>
        <w:t>u</w:t>
      </w:r>
      <w:r w:rsidRPr="00840C2D">
        <w:rPr>
          <w:rFonts w:ascii="Times New Roman" w:hAnsi="Times New Roman" w:cs="Times New Roman"/>
          <w:sz w:val="24"/>
          <w:szCs w:val="24"/>
        </w:rPr>
        <w:t>r</w:t>
      </w:r>
      <w:proofErr w:type="spellEnd"/>
      <w:r w:rsidRPr="00840C2D">
        <w:rPr>
          <w:rFonts w:ascii="Times New Roman" w:hAnsi="Times New Roman" w:cs="Times New Roman"/>
          <w:sz w:val="24"/>
          <w:szCs w:val="24"/>
        </w:rPr>
        <w:t xml:space="preserve"> procedure, the judges and the group of onlookers needed to distinguish the on-screen character in each progressive job he performed. The group of onlookers must almost certainly observe past the outfit, the cover, and the character of every job and distinguish which entertainer was assuming that job. This transient breaking of the figment was a fundamental group of onlookers expertise for the main entertainer grant process. Unquestionably the general gathering of people had the option to practice similar capacities. </w:t>
      </w:r>
    </w:p>
    <w:p w14:paraId="272A8BDD" w14:textId="77777777" w:rsidR="00441306" w:rsidRDefault="00840C2D" w:rsidP="00441306">
      <w:pPr>
        <w:spacing w:line="240" w:lineRule="auto"/>
        <w:ind w:firstLine="720"/>
        <w:jc w:val="both"/>
        <w:rPr>
          <w:rFonts w:ascii="Times New Roman" w:hAnsi="Times New Roman" w:cs="Times New Roman"/>
          <w:sz w:val="24"/>
          <w:szCs w:val="24"/>
        </w:rPr>
      </w:pPr>
      <w:r w:rsidRPr="00840C2D">
        <w:rPr>
          <w:rFonts w:ascii="Times New Roman" w:hAnsi="Times New Roman" w:cs="Times New Roman"/>
          <w:sz w:val="24"/>
          <w:szCs w:val="24"/>
        </w:rPr>
        <w:t>In this way, sooner or later, for each new job in the play, the gathering of people probably ceased, moved its concen</w:t>
      </w:r>
      <w:r w:rsidR="00441306">
        <w:rPr>
          <w:rFonts w:ascii="Times New Roman" w:hAnsi="Times New Roman" w:cs="Times New Roman"/>
          <w:sz w:val="24"/>
          <w:szCs w:val="24"/>
        </w:rPr>
        <w:t xml:space="preserve">tration from closer view to the </w:t>
      </w:r>
      <w:r w:rsidRPr="00840C2D">
        <w:rPr>
          <w:rFonts w:ascii="Times New Roman" w:hAnsi="Times New Roman" w:cs="Times New Roman"/>
          <w:sz w:val="24"/>
          <w:szCs w:val="24"/>
        </w:rPr>
        <w:t xml:space="preserve">foundation, distinguished the on-screen character assuming the job, and after that moved back to the frontal area of the play. </w:t>
      </w:r>
      <w:r w:rsidR="00441306" w:rsidRPr="00840C2D">
        <w:rPr>
          <w:rFonts w:ascii="Times New Roman" w:hAnsi="Times New Roman" w:cs="Times New Roman"/>
          <w:sz w:val="24"/>
          <w:szCs w:val="24"/>
        </w:rPr>
        <w:t>This self-reference alone ought to be sufficient to make all the Greek catastrophes metatheatrical.</w:t>
      </w:r>
      <w:r w:rsidR="00441306">
        <w:rPr>
          <w:rFonts w:ascii="Times New Roman" w:hAnsi="Times New Roman" w:cs="Times New Roman"/>
          <w:sz w:val="24"/>
          <w:szCs w:val="24"/>
        </w:rPr>
        <w:t xml:space="preserve"> </w:t>
      </w:r>
      <w:r w:rsidR="00441306" w:rsidRPr="00840C2D">
        <w:rPr>
          <w:rFonts w:ascii="Times New Roman" w:hAnsi="Times New Roman" w:cs="Times New Roman"/>
          <w:sz w:val="24"/>
          <w:szCs w:val="24"/>
        </w:rPr>
        <w:t xml:space="preserve">However, past that, the utilization of the 'quiet' entertainer in Agamemnon is presumably the most one of a kind dramatically self-referential minute in the play. </w:t>
      </w:r>
      <w:r w:rsidRPr="00840C2D">
        <w:rPr>
          <w:rFonts w:ascii="Times New Roman" w:hAnsi="Times New Roman" w:cs="Times New Roman"/>
          <w:sz w:val="24"/>
          <w:szCs w:val="24"/>
        </w:rPr>
        <w:t>A quiet entertainer was utilized when a greater number of characters were in front of an audience tha</w:t>
      </w:r>
      <w:r w:rsidR="00441306">
        <w:rPr>
          <w:rFonts w:ascii="Times New Roman" w:hAnsi="Times New Roman" w:cs="Times New Roman"/>
          <w:sz w:val="24"/>
          <w:szCs w:val="24"/>
        </w:rPr>
        <w:t>t</w:t>
      </w:r>
      <w:r w:rsidRPr="00840C2D">
        <w:rPr>
          <w:rFonts w:ascii="Times New Roman" w:hAnsi="Times New Roman" w:cs="Times New Roman"/>
          <w:sz w:val="24"/>
          <w:szCs w:val="24"/>
        </w:rPr>
        <w:t xml:space="preserve"> could be taken care of by the three allocated talking on-screen characters, (</w:t>
      </w:r>
      <w:r w:rsidRPr="00840C2D">
        <w:rPr>
          <w:rFonts w:ascii="Times New Roman" w:hAnsi="Times New Roman" w:cs="Times New Roman"/>
          <w:sz w:val="24"/>
          <w:szCs w:val="24"/>
          <w:shd w:val="clear" w:color="auto" w:fill="FFFFFF"/>
        </w:rPr>
        <w:t>Dustagheer and Newman, 2018).</w:t>
      </w:r>
      <w:r w:rsidRPr="00840C2D">
        <w:rPr>
          <w:rFonts w:ascii="Times New Roman" w:hAnsi="Times New Roman" w:cs="Times New Roman"/>
          <w:sz w:val="24"/>
          <w:szCs w:val="24"/>
        </w:rPr>
        <w:t>In such cases, the quiet on-screen character played the character yet talked no lines, a show surely knew by the Greek gathering of people.</w:t>
      </w:r>
    </w:p>
    <w:p w14:paraId="264471F5" w14:textId="77777777" w:rsidR="007E659D" w:rsidRPr="00840C2D" w:rsidRDefault="00840C2D" w:rsidP="00441306">
      <w:pPr>
        <w:spacing w:line="240" w:lineRule="auto"/>
        <w:ind w:firstLine="720"/>
        <w:jc w:val="both"/>
        <w:rPr>
          <w:rFonts w:ascii="Times New Roman" w:hAnsi="Times New Roman" w:cs="Times New Roman"/>
          <w:sz w:val="24"/>
          <w:szCs w:val="24"/>
        </w:rPr>
      </w:pPr>
      <w:r w:rsidRPr="00840C2D">
        <w:rPr>
          <w:rFonts w:ascii="Times New Roman" w:hAnsi="Times New Roman" w:cs="Times New Roman"/>
          <w:sz w:val="24"/>
          <w:szCs w:val="24"/>
        </w:rPr>
        <w:t xml:space="preserve"> In Agamemnon, Aeschylus had the on-screen character playing Cassandra stand quietly for around 300 lines, in spite of an immediate solicitation to talk. 'At long last, when the group of onlookers was persuaded that Cassandra was being played by a quiet entertainer who might not speak, Cassandra abruptly emitted into tune. </w:t>
      </w:r>
      <w:r w:rsidR="00441306" w:rsidRPr="00840C2D">
        <w:rPr>
          <w:rFonts w:ascii="Times New Roman" w:hAnsi="Times New Roman" w:cs="Times New Roman"/>
          <w:sz w:val="24"/>
          <w:szCs w:val="24"/>
        </w:rPr>
        <w:t>The gathering of pe</w:t>
      </w:r>
      <w:r w:rsidR="00441306">
        <w:rPr>
          <w:rFonts w:ascii="Times New Roman" w:hAnsi="Times New Roman" w:cs="Times New Roman"/>
          <w:sz w:val="24"/>
          <w:szCs w:val="24"/>
        </w:rPr>
        <w:t xml:space="preserve">ople was all of a sudden raised </w:t>
      </w:r>
      <w:r w:rsidR="00441306" w:rsidRPr="00840C2D">
        <w:rPr>
          <w:rFonts w:ascii="Times New Roman" w:hAnsi="Times New Roman" w:cs="Times New Roman"/>
          <w:sz w:val="24"/>
          <w:szCs w:val="24"/>
        </w:rPr>
        <w:t>short</w:t>
      </w:r>
      <w:r w:rsidR="00441306">
        <w:rPr>
          <w:rFonts w:ascii="Times New Roman" w:hAnsi="Times New Roman" w:cs="Times New Roman"/>
          <w:sz w:val="24"/>
          <w:szCs w:val="24"/>
        </w:rPr>
        <w:t>ly</w:t>
      </w:r>
      <w:r w:rsidR="00441306" w:rsidRPr="00840C2D">
        <w:rPr>
          <w:rFonts w:ascii="Times New Roman" w:hAnsi="Times New Roman" w:cs="Times New Roman"/>
          <w:sz w:val="24"/>
          <w:szCs w:val="24"/>
        </w:rPr>
        <w:t xml:space="preserve"> with an apparent 'infri</w:t>
      </w:r>
      <w:r w:rsidR="00441306">
        <w:rPr>
          <w:rFonts w:ascii="Times New Roman" w:hAnsi="Times New Roman" w:cs="Times New Roman"/>
          <w:sz w:val="24"/>
          <w:szCs w:val="24"/>
        </w:rPr>
        <w:t xml:space="preserve">ngement' of the stage show, its </w:t>
      </w:r>
      <w:proofErr w:type="spellStart"/>
      <w:r w:rsidR="00441306" w:rsidRPr="00840C2D">
        <w:rPr>
          <w:rFonts w:ascii="Times New Roman" w:hAnsi="Times New Roman" w:cs="Times New Roman"/>
          <w:sz w:val="24"/>
          <w:szCs w:val="24"/>
        </w:rPr>
        <w:t>cent</w:t>
      </w:r>
      <w:r w:rsidR="00441306">
        <w:rPr>
          <w:rFonts w:ascii="Times New Roman" w:hAnsi="Times New Roman" w:cs="Times New Roman"/>
          <w:sz w:val="24"/>
          <w:szCs w:val="24"/>
        </w:rPr>
        <w:t>re</w:t>
      </w:r>
      <w:proofErr w:type="spellEnd"/>
      <w:r w:rsidR="00441306" w:rsidRPr="00840C2D">
        <w:rPr>
          <w:rFonts w:ascii="Times New Roman" w:hAnsi="Times New Roman" w:cs="Times New Roman"/>
          <w:sz w:val="24"/>
          <w:szCs w:val="24"/>
        </w:rPr>
        <w:t xml:space="preserve"> moved, self-reference happened, and the play moved toward becoming metatheatrical.</w:t>
      </w:r>
      <w:r w:rsidR="00441306">
        <w:rPr>
          <w:rFonts w:ascii="Times New Roman" w:hAnsi="Times New Roman" w:cs="Times New Roman"/>
          <w:sz w:val="24"/>
          <w:szCs w:val="24"/>
        </w:rPr>
        <w:t xml:space="preserve"> One of the issues in the </w:t>
      </w:r>
      <w:r w:rsidR="00441306" w:rsidRPr="00840C2D">
        <w:rPr>
          <w:rFonts w:ascii="Times New Roman" w:hAnsi="Times New Roman" w:cs="Times New Roman"/>
          <w:sz w:val="24"/>
          <w:szCs w:val="24"/>
        </w:rPr>
        <w:t xml:space="preserve">contemporary analysis is dismissing the interceding centuries between the Greeks and us. </w:t>
      </w:r>
      <w:r w:rsidR="007E659D" w:rsidRPr="00840C2D">
        <w:rPr>
          <w:rFonts w:ascii="Times New Roman" w:hAnsi="Times New Roman" w:cs="Times New Roman"/>
          <w:sz w:val="24"/>
          <w:szCs w:val="24"/>
        </w:rPr>
        <w:t xml:space="preserve">While a reference to Homer or Greek folklore might be basic spot today, and, thus, not metatheatrical for us, we are 2,400 years more inaccessible than were the </w:t>
      </w:r>
      <w:r w:rsidR="00441306" w:rsidRPr="00840C2D">
        <w:rPr>
          <w:rFonts w:ascii="Times New Roman" w:hAnsi="Times New Roman" w:cs="Times New Roman"/>
          <w:sz w:val="24"/>
          <w:szCs w:val="24"/>
        </w:rPr>
        <w:t>fifth century</w:t>
      </w:r>
      <w:r w:rsidR="007E659D" w:rsidRPr="00840C2D">
        <w:rPr>
          <w:rFonts w:ascii="Times New Roman" w:hAnsi="Times New Roman" w:cs="Times New Roman"/>
          <w:sz w:val="24"/>
          <w:szCs w:val="24"/>
        </w:rPr>
        <w:t xml:space="preserve"> BCE Greeks. For them, a reference to Homer was not any more far off than a reference to Shakespeare is for us. When we fuse stories from Shakespeare into our contemporary show, we ordinarily make </w:t>
      </w:r>
      <w:r w:rsidR="00441306" w:rsidRPr="00840C2D">
        <w:rPr>
          <w:rFonts w:ascii="Times New Roman" w:hAnsi="Times New Roman" w:cs="Times New Roman"/>
          <w:sz w:val="24"/>
          <w:szCs w:val="24"/>
        </w:rPr>
        <w:t>meat-eater</w:t>
      </w:r>
      <w:r w:rsidR="007E659D" w:rsidRPr="00840C2D">
        <w:rPr>
          <w:rFonts w:ascii="Times New Roman" w:hAnsi="Times New Roman" w:cs="Times New Roman"/>
          <w:sz w:val="24"/>
          <w:szCs w:val="24"/>
        </w:rPr>
        <w:t xml:space="preserve"> is the procedure and recognize it in that capacity—we should concede as a lot to the Greeks</w:t>
      </w:r>
      <w:r w:rsidRPr="00840C2D">
        <w:rPr>
          <w:rFonts w:ascii="Times New Roman" w:hAnsi="Times New Roman" w:cs="Times New Roman"/>
          <w:sz w:val="24"/>
          <w:szCs w:val="24"/>
        </w:rPr>
        <w:t>.</w:t>
      </w:r>
    </w:p>
    <w:p w14:paraId="2AD48139" w14:textId="77777777" w:rsidR="00840C2D" w:rsidRDefault="00840C2D" w:rsidP="00840C2D">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14:paraId="356E2A8B" w14:textId="77777777" w:rsidR="00840C2D" w:rsidRPr="00840C2D" w:rsidRDefault="00840C2D" w:rsidP="00840C2D">
      <w:pPr>
        <w:spacing w:line="240" w:lineRule="auto"/>
        <w:ind w:firstLine="720"/>
        <w:jc w:val="center"/>
        <w:rPr>
          <w:rFonts w:ascii="Times New Roman" w:hAnsi="Times New Roman" w:cs="Times New Roman"/>
          <w:sz w:val="24"/>
          <w:szCs w:val="24"/>
        </w:rPr>
      </w:pPr>
      <w:r w:rsidRPr="00840C2D">
        <w:rPr>
          <w:rFonts w:ascii="Times New Roman" w:hAnsi="Times New Roman" w:cs="Times New Roman"/>
          <w:sz w:val="24"/>
          <w:szCs w:val="24"/>
        </w:rPr>
        <w:t>Reference</w:t>
      </w:r>
    </w:p>
    <w:p w14:paraId="5E62F13C" w14:textId="77777777" w:rsidR="00840C2D" w:rsidRPr="00840C2D" w:rsidRDefault="00840C2D" w:rsidP="00840C2D">
      <w:pPr>
        <w:spacing w:line="240" w:lineRule="auto"/>
        <w:ind w:left="720" w:hanging="720"/>
        <w:jc w:val="both"/>
        <w:rPr>
          <w:rFonts w:ascii="Times New Roman" w:hAnsi="Times New Roman" w:cs="Times New Roman"/>
          <w:sz w:val="24"/>
          <w:szCs w:val="24"/>
          <w:shd w:val="clear" w:color="auto" w:fill="FFFFFF"/>
        </w:rPr>
      </w:pPr>
      <w:r w:rsidRPr="00840C2D">
        <w:rPr>
          <w:rFonts w:ascii="Times New Roman" w:hAnsi="Times New Roman" w:cs="Times New Roman"/>
          <w:sz w:val="24"/>
          <w:szCs w:val="24"/>
          <w:shd w:val="clear" w:color="auto" w:fill="FFFFFF"/>
        </w:rPr>
        <w:t>Dustagheer, S., &amp; Newman, H. (2018). Metatheatre and Early Modern Drama. </w:t>
      </w:r>
      <w:r w:rsidRPr="00840C2D">
        <w:rPr>
          <w:rFonts w:ascii="Times New Roman" w:hAnsi="Times New Roman" w:cs="Times New Roman"/>
          <w:i/>
          <w:iCs/>
          <w:sz w:val="24"/>
          <w:szCs w:val="24"/>
          <w:shd w:val="clear" w:color="auto" w:fill="FFFFFF"/>
        </w:rPr>
        <w:t>Shakespeare Bulletin</w:t>
      </w:r>
      <w:r w:rsidRPr="00840C2D">
        <w:rPr>
          <w:rFonts w:ascii="Times New Roman" w:hAnsi="Times New Roman" w:cs="Times New Roman"/>
          <w:sz w:val="24"/>
          <w:szCs w:val="24"/>
          <w:shd w:val="clear" w:color="auto" w:fill="FFFFFF"/>
        </w:rPr>
        <w:t>, </w:t>
      </w:r>
      <w:r w:rsidRPr="00840C2D">
        <w:rPr>
          <w:rFonts w:ascii="Times New Roman" w:hAnsi="Times New Roman" w:cs="Times New Roman"/>
          <w:i/>
          <w:iCs/>
          <w:sz w:val="24"/>
          <w:szCs w:val="24"/>
          <w:shd w:val="clear" w:color="auto" w:fill="FFFFFF"/>
        </w:rPr>
        <w:t>36</w:t>
      </w:r>
      <w:r w:rsidRPr="00840C2D">
        <w:rPr>
          <w:rFonts w:ascii="Times New Roman" w:hAnsi="Times New Roman" w:cs="Times New Roman"/>
          <w:sz w:val="24"/>
          <w:szCs w:val="24"/>
          <w:shd w:val="clear" w:color="auto" w:fill="FFFFFF"/>
        </w:rPr>
        <w:t>(1), 3-18.</w:t>
      </w:r>
    </w:p>
    <w:p w14:paraId="14CD635D" w14:textId="77777777" w:rsidR="00840C2D" w:rsidRPr="00840C2D" w:rsidRDefault="00840C2D" w:rsidP="00840C2D">
      <w:pPr>
        <w:spacing w:line="240" w:lineRule="auto"/>
        <w:ind w:left="720" w:hanging="720"/>
        <w:jc w:val="both"/>
        <w:rPr>
          <w:rFonts w:ascii="Times New Roman" w:hAnsi="Times New Roman" w:cs="Times New Roman"/>
          <w:sz w:val="24"/>
          <w:szCs w:val="24"/>
          <w:shd w:val="clear" w:color="auto" w:fill="FFFFFF"/>
        </w:rPr>
      </w:pPr>
      <w:r w:rsidRPr="00840C2D">
        <w:rPr>
          <w:rFonts w:ascii="Times New Roman" w:hAnsi="Times New Roman" w:cs="Times New Roman"/>
          <w:sz w:val="24"/>
          <w:szCs w:val="24"/>
          <w:shd w:val="clear" w:color="auto" w:fill="FFFFFF"/>
        </w:rPr>
        <w:t>Stephenson, B. (2014). ‘Round and round’: Metatheatre, illusion, and reality in The Fantasticks. </w:t>
      </w:r>
      <w:r w:rsidRPr="00840C2D">
        <w:rPr>
          <w:rFonts w:ascii="Times New Roman" w:hAnsi="Times New Roman" w:cs="Times New Roman"/>
          <w:i/>
          <w:iCs/>
          <w:sz w:val="24"/>
          <w:szCs w:val="24"/>
          <w:shd w:val="clear" w:color="auto" w:fill="FFFFFF"/>
        </w:rPr>
        <w:t>Studies in Musical Theatre</w:t>
      </w:r>
      <w:r w:rsidRPr="00840C2D">
        <w:rPr>
          <w:rFonts w:ascii="Times New Roman" w:hAnsi="Times New Roman" w:cs="Times New Roman"/>
          <w:sz w:val="24"/>
          <w:szCs w:val="24"/>
          <w:shd w:val="clear" w:color="auto" w:fill="FFFFFF"/>
        </w:rPr>
        <w:t>, </w:t>
      </w:r>
      <w:r w:rsidRPr="00840C2D">
        <w:rPr>
          <w:rFonts w:ascii="Times New Roman" w:hAnsi="Times New Roman" w:cs="Times New Roman"/>
          <w:i/>
          <w:iCs/>
          <w:sz w:val="24"/>
          <w:szCs w:val="24"/>
          <w:shd w:val="clear" w:color="auto" w:fill="FFFFFF"/>
        </w:rPr>
        <w:t>8</w:t>
      </w:r>
      <w:r w:rsidRPr="00840C2D">
        <w:rPr>
          <w:rFonts w:ascii="Times New Roman" w:hAnsi="Times New Roman" w:cs="Times New Roman"/>
          <w:sz w:val="24"/>
          <w:szCs w:val="24"/>
          <w:shd w:val="clear" w:color="auto" w:fill="FFFFFF"/>
        </w:rPr>
        <w:t>(2), 115-127.</w:t>
      </w:r>
    </w:p>
    <w:p w14:paraId="2669B516" w14:textId="77777777" w:rsidR="00840C2D" w:rsidRPr="00840C2D" w:rsidRDefault="00840C2D" w:rsidP="00840C2D">
      <w:pPr>
        <w:spacing w:line="240" w:lineRule="auto"/>
        <w:ind w:left="720" w:hanging="720"/>
        <w:jc w:val="both"/>
        <w:rPr>
          <w:rFonts w:ascii="Times New Roman" w:hAnsi="Times New Roman" w:cs="Times New Roman"/>
          <w:sz w:val="24"/>
          <w:szCs w:val="24"/>
          <w:shd w:val="clear" w:color="auto" w:fill="FFFFFF"/>
        </w:rPr>
      </w:pPr>
      <w:r w:rsidRPr="00840C2D">
        <w:rPr>
          <w:rFonts w:ascii="Times New Roman" w:hAnsi="Times New Roman" w:cs="Times New Roman"/>
          <w:sz w:val="24"/>
          <w:szCs w:val="24"/>
          <w:shd w:val="clear" w:color="auto" w:fill="FFFFFF"/>
        </w:rPr>
        <w:t>Purcell, S. (2018). Are Shakespeare's plays always metatheatrical?. </w:t>
      </w:r>
      <w:r w:rsidRPr="00840C2D">
        <w:rPr>
          <w:rFonts w:ascii="Times New Roman" w:hAnsi="Times New Roman" w:cs="Times New Roman"/>
          <w:i/>
          <w:iCs/>
          <w:sz w:val="24"/>
          <w:szCs w:val="24"/>
          <w:shd w:val="clear" w:color="auto" w:fill="FFFFFF"/>
        </w:rPr>
        <w:t>Shakespeare Bulletin</w:t>
      </w:r>
      <w:r w:rsidRPr="00840C2D">
        <w:rPr>
          <w:rFonts w:ascii="Times New Roman" w:hAnsi="Times New Roman" w:cs="Times New Roman"/>
          <w:sz w:val="24"/>
          <w:szCs w:val="24"/>
          <w:shd w:val="clear" w:color="auto" w:fill="FFFFFF"/>
        </w:rPr>
        <w:t>, </w:t>
      </w:r>
      <w:r w:rsidRPr="00840C2D">
        <w:rPr>
          <w:rFonts w:ascii="Times New Roman" w:hAnsi="Times New Roman" w:cs="Times New Roman"/>
          <w:i/>
          <w:iCs/>
          <w:sz w:val="24"/>
          <w:szCs w:val="24"/>
          <w:shd w:val="clear" w:color="auto" w:fill="FFFFFF"/>
        </w:rPr>
        <w:t>36</w:t>
      </w:r>
      <w:r w:rsidRPr="00840C2D">
        <w:rPr>
          <w:rFonts w:ascii="Times New Roman" w:hAnsi="Times New Roman" w:cs="Times New Roman"/>
          <w:sz w:val="24"/>
          <w:szCs w:val="24"/>
          <w:shd w:val="clear" w:color="auto" w:fill="FFFFFF"/>
        </w:rPr>
        <w:t>(1), 19-35.</w:t>
      </w:r>
    </w:p>
    <w:p w14:paraId="4054DFB7" w14:textId="77777777" w:rsidR="00840C2D" w:rsidRPr="00840C2D" w:rsidRDefault="00840C2D" w:rsidP="00840C2D">
      <w:pPr>
        <w:spacing w:line="240" w:lineRule="auto"/>
        <w:ind w:left="720" w:hanging="720"/>
        <w:jc w:val="both"/>
        <w:rPr>
          <w:rFonts w:ascii="Times New Roman" w:hAnsi="Times New Roman" w:cs="Times New Roman"/>
          <w:sz w:val="24"/>
          <w:szCs w:val="24"/>
        </w:rPr>
      </w:pPr>
      <w:r w:rsidRPr="00840C2D">
        <w:rPr>
          <w:rFonts w:ascii="Times New Roman" w:hAnsi="Times New Roman" w:cs="Times New Roman"/>
          <w:sz w:val="24"/>
          <w:szCs w:val="24"/>
          <w:shd w:val="clear" w:color="auto" w:fill="FFFFFF"/>
        </w:rPr>
        <w:t>Angus, B. (2016). </w:t>
      </w:r>
      <w:r w:rsidRPr="00840C2D">
        <w:rPr>
          <w:rFonts w:ascii="Times New Roman" w:hAnsi="Times New Roman" w:cs="Times New Roman"/>
          <w:i/>
          <w:iCs/>
          <w:sz w:val="24"/>
          <w:szCs w:val="24"/>
          <w:shd w:val="clear" w:color="auto" w:fill="FFFFFF"/>
        </w:rPr>
        <w:t>Metadrama and the Informer in Shakespeare and Jonson</w:t>
      </w:r>
      <w:r w:rsidRPr="00840C2D">
        <w:rPr>
          <w:rFonts w:ascii="Times New Roman" w:hAnsi="Times New Roman" w:cs="Times New Roman"/>
          <w:sz w:val="24"/>
          <w:szCs w:val="24"/>
          <w:shd w:val="clear" w:color="auto" w:fill="FFFFFF"/>
        </w:rPr>
        <w:t>. Edinburgh University Press.</w:t>
      </w:r>
    </w:p>
    <w:sectPr w:rsidR="00840C2D" w:rsidRPr="00840C2D" w:rsidSect="0044130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7B8C85" w14:textId="77777777" w:rsidR="00D67294" w:rsidRDefault="00D67294" w:rsidP="00441306">
      <w:pPr>
        <w:spacing w:after="0" w:line="240" w:lineRule="auto"/>
      </w:pPr>
      <w:r>
        <w:separator/>
      </w:r>
    </w:p>
  </w:endnote>
  <w:endnote w:type="continuationSeparator" w:id="0">
    <w:p w14:paraId="7EDB144F" w14:textId="77777777" w:rsidR="00D67294" w:rsidRDefault="00D67294" w:rsidP="004413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A9910A" w14:textId="77777777" w:rsidR="00D67294" w:rsidRDefault="00D67294" w:rsidP="00441306">
      <w:pPr>
        <w:spacing w:after="0" w:line="240" w:lineRule="auto"/>
      </w:pPr>
      <w:r>
        <w:separator/>
      </w:r>
    </w:p>
  </w:footnote>
  <w:footnote w:type="continuationSeparator" w:id="0">
    <w:p w14:paraId="0DFA07C4" w14:textId="77777777" w:rsidR="00D67294" w:rsidRDefault="00D67294" w:rsidP="004413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01451301"/>
      <w:docPartObj>
        <w:docPartGallery w:val="Page Numbers (Top of Page)"/>
        <w:docPartUnique/>
      </w:docPartObj>
    </w:sdtPr>
    <w:sdtEndPr>
      <w:rPr>
        <w:noProof/>
      </w:rPr>
    </w:sdtEndPr>
    <w:sdtContent>
      <w:p w14:paraId="78FEBBF0" w14:textId="77777777" w:rsidR="00441306" w:rsidRPr="00441306" w:rsidRDefault="00441306" w:rsidP="00441306">
        <w:pPr>
          <w:spacing w:line="240" w:lineRule="auto"/>
          <w:rPr>
            <w:rFonts w:ascii="Times New Roman" w:hAnsi="Times New Roman" w:cs="Times New Roman"/>
            <w:sz w:val="24"/>
            <w:szCs w:val="24"/>
          </w:rPr>
        </w:pPr>
        <w:r w:rsidRPr="00441306">
          <w:rPr>
            <w:rFonts w:ascii="Times New Roman" w:hAnsi="Times New Roman" w:cs="Times New Roman"/>
            <w:sz w:val="24"/>
            <w:szCs w:val="24"/>
          </w:rPr>
          <w:t>D</w:t>
        </w:r>
        <w:r>
          <w:rPr>
            <w:rFonts w:ascii="Times New Roman" w:hAnsi="Times New Roman" w:cs="Times New Roman"/>
            <w:sz w:val="24"/>
            <w:szCs w:val="24"/>
          </w:rPr>
          <w:t xml:space="preserve">RAMA, METADRAMA, AND PERCEPTION                                                                           </w:t>
        </w:r>
        <w:r>
          <w:fldChar w:fldCharType="begin"/>
        </w:r>
        <w:r>
          <w:instrText xml:space="preserve"> PAGE   \* MERGEFORMAT </w:instrText>
        </w:r>
        <w:r>
          <w:fldChar w:fldCharType="separate"/>
        </w:r>
        <w:r>
          <w:rPr>
            <w:noProof/>
          </w:rPr>
          <w:t>2</w:t>
        </w:r>
        <w:r>
          <w:rPr>
            <w:noProof/>
          </w:rPr>
          <w:fldChar w:fldCharType="end"/>
        </w:r>
      </w:p>
    </w:sdtContent>
  </w:sdt>
  <w:p w14:paraId="5F7CE26B" w14:textId="77777777" w:rsidR="00441306" w:rsidRDefault="004413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0B18EE" w14:textId="77777777" w:rsidR="00441306" w:rsidRDefault="00441306">
    <w:pPr>
      <w:pStyle w:val="Header"/>
    </w:pPr>
    <w:r>
      <w:t xml:space="preserve">Running Head: </w:t>
    </w:r>
    <w:r w:rsidRPr="00441306">
      <w:rPr>
        <w:rFonts w:ascii="Times New Roman" w:hAnsi="Times New Roman" w:cs="Times New Roman"/>
        <w:sz w:val="24"/>
        <w:szCs w:val="24"/>
      </w:rPr>
      <w:t>D</w:t>
    </w:r>
    <w:r>
      <w:rPr>
        <w:rFonts w:ascii="Times New Roman" w:hAnsi="Times New Roman" w:cs="Times New Roman"/>
        <w:sz w:val="24"/>
        <w:szCs w:val="24"/>
      </w:rPr>
      <w:t>RAMA, METADRAMA, AND PERCEPTION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IwsDCytDA2tjQ3sDBX0lEKTi0uzszPAykwrAUAzTf1HCwAAAA="/>
  </w:docVars>
  <w:rsids>
    <w:rsidRoot w:val="00763F25"/>
    <w:rsid w:val="00441306"/>
    <w:rsid w:val="00585993"/>
    <w:rsid w:val="006C4824"/>
    <w:rsid w:val="00763F25"/>
    <w:rsid w:val="007E659D"/>
    <w:rsid w:val="00840C2D"/>
    <w:rsid w:val="00AB1166"/>
    <w:rsid w:val="00AF6343"/>
    <w:rsid w:val="00D672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B85A3"/>
  <w15:docId w15:val="{05ADFC79-A027-4B6A-93EF-7E52CB6FD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13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1306"/>
  </w:style>
  <w:style w:type="paragraph" w:styleId="Footer">
    <w:name w:val="footer"/>
    <w:basedOn w:val="Normal"/>
    <w:link w:val="FooterChar"/>
    <w:uiPriority w:val="99"/>
    <w:unhideWhenUsed/>
    <w:rsid w:val="004413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13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1207</Words>
  <Characters>6881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dc:creator>
  <cp:lastModifiedBy>Pavilion</cp:lastModifiedBy>
  <cp:revision>2</cp:revision>
  <dcterms:created xsi:type="dcterms:W3CDTF">2019-05-11T01:48:00Z</dcterms:created>
  <dcterms:modified xsi:type="dcterms:W3CDTF">2019-05-11T01:48:00Z</dcterms:modified>
</cp:coreProperties>
</file>